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9C" w:rsidRDefault="003E4C9C" w:rsidP="003E4C9C">
      <w:pPr>
        <w:jc w:val="center"/>
        <w:rPr>
          <w:b/>
          <w:bCs/>
          <w:sz w:val="24"/>
          <w:szCs w:val="24"/>
          <w:u w:val="single"/>
          <w:rtl/>
        </w:rPr>
      </w:pPr>
      <w:r w:rsidRPr="003E4C9C">
        <w:rPr>
          <w:rFonts w:cs="Arial"/>
          <w:b/>
          <w:bCs/>
          <w:sz w:val="24"/>
          <w:szCs w:val="24"/>
          <w:u w:val="single"/>
          <w:rtl/>
        </w:rPr>
        <w:t>נוהל טיפול בפניות הציבור במועצה</w:t>
      </w:r>
    </w:p>
    <w:p w:rsidR="003E4C9C" w:rsidRPr="003E4C9C" w:rsidRDefault="003E4C9C" w:rsidP="003E4C9C">
      <w:pPr>
        <w:jc w:val="center"/>
        <w:rPr>
          <w:b/>
          <w:bCs/>
          <w:sz w:val="24"/>
          <w:szCs w:val="24"/>
          <w:u w:val="single"/>
          <w:rtl/>
        </w:rPr>
      </w:pPr>
    </w:p>
    <w:p w:rsidR="003E4C9C" w:rsidRPr="003E4C9C" w:rsidRDefault="003E4C9C" w:rsidP="003E4C9C">
      <w:pPr>
        <w:rPr>
          <w:sz w:val="24"/>
          <w:szCs w:val="24"/>
          <w:rtl/>
        </w:rPr>
      </w:pPr>
      <w:r w:rsidRPr="003E4C9C">
        <w:rPr>
          <w:rFonts w:cs="Arial"/>
          <w:sz w:val="24"/>
          <w:szCs w:val="24"/>
          <w:rtl/>
        </w:rPr>
        <w:t>כללי:</w:t>
      </w:r>
    </w:p>
    <w:p w:rsidR="003E4C9C" w:rsidRPr="003E4C9C" w:rsidRDefault="003E4C9C" w:rsidP="003E4C9C">
      <w:pPr>
        <w:rPr>
          <w:sz w:val="24"/>
          <w:szCs w:val="24"/>
          <w:rtl/>
        </w:rPr>
      </w:pPr>
      <w:r w:rsidRPr="003E4C9C">
        <w:rPr>
          <w:rFonts w:cs="Arial"/>
          <w:sz w:val="24"/>
          <w:szCs w:val="24"/>
          <w:rtl/>
        </w:rPr>
        <w:t>1. המועצה נותנת שירות לתושבים ולציבור הרחב ומחויבת בהתייחסות נאותה לציבור זה .</w:t>
      </w:r>
    </w:p>
    <w:p w:rsidR="003E4C9C" w:rsidRPr="003E4C9C" w:rsidRDefault="003E4C9C" w:rsidP="003E4C9C">
      <w:pPr>
        <w:rPr>
          <w:sz w:val="24"/>
          <w:szCs w:val="24"/>
          <w:rtl/>
        </w:rPr>
      </w:pPr>
      <w:r w:rsidRPr="003E4C9C">
        <w:rPr>
          <w:rFonts w:cs="Arial"/>
          <w:sz w:val="24"/>
          <w:szCs w:val="24"/>
          <w:rtl/>
        </w:rPr>
        <w:t>2. מגוון הנושאים ודרכי הפניה של הציבור למועצה מחייב קביעת דפוסי פעולה לעובדי המועצה ולבעלי התפקידים המחויבים לרמת שרות.</w:t>
      </w:r>
    </w:p>
    <w:p w:rsidR="003E4C9C" w:rsidRPr="003E4C9C" w:rsidRDefault="003E4C9C" w:rsidP="003E4C9C">
      <w:pPr>
        <w:rPr>
          <w:sz w:val="24"/>
          <w:szCs w:val="24"/>
          <w:rtl/>
        </w:rPr>
      </w:pPr>
      <w:r w:rsidRPr="003E4C9C">
        <w:rPr>
          <w:rFonts w:cs="Arial"/>
          <w:sz w:val="24"/>
          <w:szCs w:val="24"/>
          <w:rtl/>
        </w:rPr>
        <w:t>3. במועצה קיימת אחראית על פניות הציבור המרכזת את הפניות מהתושבים ואת המענה ממנהלי המחלקות.</w:t>
      </w:r>
    </w:p>
    <w:p w:rsidR="003E4C9C" w:rsidRPr="003E4C9C" w:rsidRDefault="003E4C9C" w:rsidP="003E4C9C">
      <w:pPr>
        <w:rPr>
          <w:sz w:val="24"/>
          <w:szCs w:val="24"/>
          <w:rtl/>
        </w:rPr>
      </w:pPr>
      <w:r w:rsidRPr="003E4C9C">
        <w:rPr>
          <w:rFonts w:cs="Arial"/>
          <w:sz w:val="24"/>
          <w:szCs w:val="24"/>
          <w:rtl/>
        </w:rPr>
        <w:t>4. במועצה קיימים גורמים נוספים המקבלים פניות :ישירות למחלקה, מוקד, לשכת ראש המועצה,</w:t>
      </w:r>
      <w:r>
        <w:rPr>
          <w:rFonts w:cs="Arial" w:hint="cs"/>
          <w:sz w:val="24"/>
          <w:szCs w:val="24"/>
          <w:rtl/>
        </w:rPr>
        <w:t xml:space="preserve"> </w:t>
      </w:r>
      <w:r w:rsidRPr="003E4C9C">
        <w:rPr>
          <w:rFonts w:cs="Arial"/>
          <w:sz w:val="24"/>
          <w:szCs w:val="24"/>
          <w:rtl/>
        </w:rPr>
        <w:t>הממונה על תלונות הציבור.</w:t>
      </w:r>
      <w:r>
        <w:rPr>
          <w:rFonts w:cs="Arial" w:hint="cs"/>
          <w:sz w:val="24"/>
          <w:szCs w:val="24"/>
          <w:rtl/>
        </w:rPr>
        <w:t xml:space="preserve"> </w:t>
      </w:r>
      <w:r w:rsidRPr="003E4C9C">
        <w:rPr>
          <w:rFonts w:cs="Arial"/>
          <w:sz w:val="24"/>
          <w:szCs w:val="24"/>
          <w:rtl/>
        </w:rPr>
        <w:t>פניות אלה מגיעות שלא בתהליך הנדרש אולם יתקבלו ויופנו לאחראית הפניות .</w:t>
      </w:r>
    </w:p>
    <w:p w:rsidR="003E4C9C" w:rsidRPr="003E4C9C" w:rsidRDefault="003E4C9C" w:rsidP="003E4C9C">
      <w:pPr>
        <w:rPr>
          <w:sz w:val="24"/>
          <w:szCs w:val="24"/>
          <w:rtl/>
        </w:rPr>
      </w:pPr>
      <w:r w:rsidRPr="003E4C9C">
        <w:rPr>
          <w:rFonts w:cs="Arial"/>
          <w:sz w:val="24"/>
          <w:szCs w:val="24"/>
          <w:rtl/>
        </w:rPr>
        <w:t>5. חוברת סל השירותים מגדירה תחומי אחריות בין הישובים למועצה. במידה וגורמי הפנים בישוב אינם נותנים מענה ראוי לתושב,</w:t>
      </w:r>
      <w:r>
        <w:rPr>
          <w:rFonts w:cs="Arial" w:hint="cs"/>
          <w:sz w:val="24"/>
          <w:szCs w:val="24"/>
          <w:rtl/>
        </w:rPr>
        <w:t xml:space="preserve"> </w:t>
      </w:r>
      <w:r w:rsidRPr="003E4C9C">
        <w:rPr>
          <w:rFonts w:cs="Arial"/>
          <w:sz w:val="24"/>
          <w:szCs w:val="24"/>
          <w:rtl/>
        </w:rPr>
        <w:t>תתערב המועצה בנושא.</w:t>
      </w:r>
    </w:p>
    <w:p w:rsidR="003E4C9C" w:rsidRPr="003E4C9C" w:rsidRDefault="003E4C9C" w:rsidP="003E4C9C">
      <w:pPr>
        <w:rPr>
          <w:sz w:val="24"/>
          <w:szCs w:val="24"/>
          <w:rtl/>
        </w:rPr>
      </w:pPr>
      <w:r w:rsidRPr="003E4C9C">
        <w:rPr>
          <w:rFonts w:cs="Arial"/>
          <w:sz w:val="24"/>
          <w:szCs w:val="24"/>
          <w:rtl/>
        </w:rPr>
        <w:t>6. מהות הפניות קשורות לפעילות הרשות המקומית להסרת/ הסדרת מטרדים או מפגעים או לקבלת שרות מוניציפאלי. הטיפול בעניינים אלה הינו בסמכות המוקד במועצה או ע"י המחלקות השונות.</w:t>
      </w:r>
    </w:p>
    <w:p w:rsidR="003E4C9C" w:rsidRPr="003E4C9C" w:rsidRDefault="003E4C9C" w:rsidP="003E4C9C">
      <w:pPr>
        <w:rPr>
          <w:sz w:val="24"/>
          <w:szCs w:val="24"/>
          <w:rtl/>
        </w:rPr>
      </w:pPr>
      <w:r w:rsidRPr="003E4C9C">
        <w:rPr>
          <w:rFonts w:cs="Arial"/>
          <w:sz w:val="24"/>
          <w:szCs w:val="24"/>
          <w:rtl/>
        </w:rPr>
        <w:t>7. הפניות יכולות להגיע בשתי דרכים:</w:t>
      </w:r>
    </w:p>
    <w:p w:rsidR="003E4C9C" w:rsidRPr="003E4C9C" w:rsidRDefault="003E4C9C" w:rsidP="003E4C9C">
      <w:pPr>
        <w:rPr>
          <w:sz w:val="24"/>
          <w:szCs w:val="24"/>
          <w:rtl/>
        </w:rPr>
      </w:pPr>
      <w:r w:rsidRPr="003E4C9C">
        <w:rPr>
          <w:rFonts w:cs="Arial"/>
          <w:sz w:val="24"/>
          <w:szCs w:val="24"/>
          <w:rtl/>
        </w:rPr>
        <w:t>• בכתב - הפניה מחויבת להגדיר מהות הבעיה,</w:t>
      </w:r>
      <w:r>
        <w:rPr>
          <w:rFonts w:cs="Arial" w:hint="cs"/>
          <w:sz w:val="24"/>
          <w:szCs w:val="24"/>
          <w:rtl/>
        </w:rPr>
        <w:t xml:space="preserve"> </w:t>
      </w:r>
      <w:r w:rsidRPr="003E4C9C">
        <w:rPr>
          <w:rFonts w:cs="Arial"/>
          <w:sz w:val="24"/>
          <w:szCs w:val="24"/>
          <w:rtl/>
        </w:rPr>
        <w:t>הקשר של המתלונן לבעיה , לאיזה גורם פנה. יש לפרט שם , כתובת ודרכי תקשורת (מייל, טלפון, פקס).</w:t>
      </w:r>
    </w:p>
    <w:p w:rsidR="003E4C9C" w:rsidRPr="003E4C9C" w:rsidRDefault="003E4C9C" w:rsidP="003E4C9C">
      <w:pPr>
        <w:rPr>
          <w:sz w:val="24"/>
          <w:szCs w:val="24"/>
          <w:rtl/>
        </w:rPr>
      </w:pPr>
      <w:r w:rsidRPr="003E4C9C">
        <w:rPr>
          <w:rFonts w:cs="Arial"/>
          <w:sz w:val="24"/>
          <w:szCs w:val="24"/>
          <w:rtl/>
        </w:rPr>
        <w:t>• בע"פ - פנייה טלפונית המעירה על בעיה מקומית המחייבת טיפול שוטף ללא צורך במעקב, התייחסות או דיווח לתושב.</w:t>
      </w:r>
    </w:p>
    <w:p w:rsidR="003E4C9C" w:rsidRPr="003E4C9C" w:rsidRDefault="003E4C9C" w:rsidP="003E4C9C">
      <w:pPr>
        <w:rPr>
          <w:sz w:val="24"/>
          <w:szCs w:val="24"/>
          <w:rtl/>
        </w:rPr>
      </w:pPr>
      <w:r w:rsidRPr="003E4C9C">
        <w:rPr>
          <w:rFonts w:cs="Arial"/>
          <w:sz w:val="24"/>
          <w:szCs w:val="24"/>
          <w:rtl/>
        </w:rPr>
        <w:t xml:space="preserve">אפשרות נוספת לפניה בע"פ הינה  נושא המחייב התייחסות ארגונית , במקרה זה נדרש לקבל פרטי המתלונן/ הפונה כולל דרכי תקשורת.     </w:t>
      </w:r>
    </w:p>
    <w:p w:rsidR="003E4C9C" w:rsidRPr="003E4C9C" w:rsidRDefault="003E4C9C" w:rsidP="003E4C9C">
      <w:pPr>
        <w:rPr>
          <w:sz w:val="24"/>
          <w:szCs w:val="24"/>
          <w:rtl/>
        </w:rPr>
      </w:pPr>
      <w:r w:rsidRPr="003E4C9C">
        <w:rPr>
          <w:rFonts w:cs="Arial"/>
          <w:sz w:val="24"/>
          <w:szCs w:val="24"/>
          <w:rtl/>
        </w:rPr>
        <w:t>פניות בעילום שם – תישקל פרטנית דרכי התגובה בהתאם לנסיבות המקרה והעניין הציבורי.</w:t>
      </w:r>
    </w:p>
    <w:p w:rsidR="003E4C9C" w:rsidRPr="003E4C9C" w:rsidRDefault="003E4C9C" w:rsidP="003E4C9C">
      <w:pPr>
        <w:rPr>
          <w:sz w:val="24"/>
          <w:szCs w:val="24"/>
          <w:rtl/>
        </w:rPr>
      </w:pPr>
      <w:r w:rsidRPr="003E4C9C">
        <w:rPr>
          <w:rFonts w:cs="Arial"/>
          <w:sz w:val="24"/>
          <w:szCs w:val="24"/>
          <w:rtl/>
        </w:rPr>
        <w:t xml:space="preserve">8. מנכ"ל המועצה יקבל דיווח חודשי מאחראית על הפניות לגבי מהות הפניות ודרכי  </w:t>
      </w:r>
    </w:p>
    <w:p w:rsidR="003E4C9C" w:rsidRPr="003E4C9C" w:rsidRDefault="003E4C9C" w:rsidP="003E4C9C">
      <w:pPr>
        <w:rPr>
          <w:sz w:val="24"/>
          <w:szCs w:val="24"/>
          <w:rtl/>
        </w:rPr>
      </w:pPr>
      <w:r w:rsidRPr="003E4C9C">
        <w:rPr>
          <w:rFonts w:cs="Arial"/>
          <w:sz w:val="24"/>
          <w:szCs w:val="24"/>
          <w:rtl/>
        </w:rPr>
        <w:t xml:space="preserve">הטיפול של המועצה , כולל דיווח על אי מתן מענה ראוי והסיבות לכך.    </w:t>
      </w:r>
    </w:p>
    <w:p w:rsidR="003E4C9C" w:rsidRPr="003E4C9C" w:rsidRDefault="003E4C9C" w:rsidP="003E4C9C">
      <w:pPr>
        <w:rPr>
          <w:sz w:val="24"/>
          <w:szCs w:val="24"/>
          <w:rtl/>
        </w:rPr>
      </w:pPr>
      <w:r w:rsidRPr="003E4C9C">
        <w:rPr>
          <w:rFonts w:cs="Arial"/>
          <w:sz w:val="24"/>
          <w:szCs w:val="24"/>
          <w:rtl/>
        </w:rPr>
        <w:t>9. אחראית פניות הציבור תרכז את הפניות מגורמי החוץ (משרדי ממשלה, מבקר המדינה ותהווה אשת הקשר לפניות ומתן מענה ראוי לגורמים אלה.</w:t>
      </w:r>
    </w:p>
    <w:p w:rsidR="003E4C9C" w:rsidRPr="003E4C9C" w:rsidRDefault="003E4C9C" w:rsidP="003E4C9C">
      <w:pPr>
        <w:rPr>
          <w:sz w:val="24"/>
          <w:szCs w:val="24"/>
          <w:rtl/>
        </w:rPr>
      </w:pPr>
      <w:r w:rsidRPr="003E4C9C">
        <w:rPr>
          <w:rFonts w:cs="Arial"/>
          <w:sz w:val="24"/>
          <w:szCs w:val="24"/>
          <w:rtl/>
        </w:rPr>
        <w:t xml:space="preserve">     </w:t>
      </w:r>
    </w:p>
    <w:p w:rsidR="003E4C9C" w:rsidRPr="003E4C9C" w:rsidRDefault="003E4C9C" w:rsidP="003E4C9C">
      <w:pPr>
        <w:rPr>
          <w:sz w:val="24"/>
          <w:szCs w:val="24"/>
          <w:rtl/>
        </w:rPr>
      </w:pPr>
    </w:p>
    <w:p w:rsidR="003E4C9C" w:rsidRPr="003E4C9C" w:rsidRDefault="003E4C9C" w:rsidP="003E4C9C">
      <w:pPr>
        <w:rPr>
          <w:sz w:val="24"/>
          <w:szCs w:val="24"/>
          <w:u w:val="single"/>
          <w:rtl/>
        </w:rPr>
      </w:pPr>
      <w:r w:rsidRPr="003E4C9C">
        <w:rPr>
          <w:rFonts w:cs="Arial"/>
          <w:sz w:val="24"/>
          <w:szCs w:val="24"/>
          <w:u w:val="single"/>
          <w:rtl/>
        </w:rPr>
        <w:t>תפקידי אחראית פניות הציבור:</w:t>
      </w:r>
    </w:p>
    <w:p w:rsidR="003E4C9C" w:rsidRPr="003E4C9C" w:rsidRDefault="003E4C9C" w:rsidP="003E4C9C">
      <w:pPr>
        <w:rPr>
          <w:sz w:val="24"/>
          <w:szCs w:val="24"/>
          <w:rtl/>
        </w:rPr>
      </w:pPr>
      <w:r w:rsidRPr="003E4C9C">
        <w:rPr>
          <w:rFonts w:cs="Arial"/>
          <w:sz w:val="24"/>
          <w:szCs w:val="24"/>
          <w:rtl/>
        </w:rPr>
        <w:t>• קבלת הפניות וניהול מעקב ארגוני.</w:t>
      </w:r>
    </w:p>
    <w:p w:rsidR="003E4C9C" w:rsidRPr="003E4C9C" w:rsidRDefault="003E4C9C" w:rsidP="003E4C9C">
      <w:pPr>
        <w:rPr>
          <w:sz w:val="24"/>
          <w:szCs w:val="24"/>
          <w:rtl/>
        </w:rPr>
      </w:pPr>
      <w:r w:rsidRPr="003E4C9C">
        <w:rPr>
          <w:rFonts w:cs="Arial"/>
          <w:sz w:val="24"/>
          <w:szCs w:val="24"/>
          <w:rtl/>
        </w:rPr>
        <w:t>• ברור הנסיבות לפניה מול הגורמים המעורבים.</w:t>
      </w:r>
    </w:p>
    <w:p w:rsidR="003E4C9C" w:rsidRPr="003E4C9C" w:rsidRDefault="003E4C9C" w:rsidP="003E4C9C">
      <w:pPr>
        <w:rPr>
          <w:sz w:val="24"/>
          <w:szCs w:val="24"/>
          <w:rtl/>
        </w:rPr>
      </w:pPr>
      <w:r w:rsidRPr="003E4C9C">
        <w:rPr>
          <w:rFonts w:cs="Arial"/>
          <w:sz w:val="24"/>
          <w:szCs w:val="24"/>
          <w:rtl/>
        </w:rPr>
        <w:t>• תאום המענה לפונים בין גורמי המועצה השונים.</w:t>
      </w:r>
    </w:p>
    <w:p w:rsidR="003E4C9C" w:rsidRPr="003E4C9C" w:rsidRDefault="003E4C9C" w:rsidP="003E4C9C">
      <w:pPr>
        <w:rPr>
          <w:sz w:val="24"/>
          <w:szCs w:val="24"/>
          <w:rtl/>
        </w:rPr>
      </w:pPr>
      <w:r w:rsidRPr="003E4C9C">
        <w:rPr>
          <w:rFonts w:cs="Arial"/>
          <w:sz w:val="24"/>
          <w:szCs w:val="24"/>
          <w:rtl/>
        </w:rPr>
        <w:lastRenderedPageBreak/>
        <w:t>• הצבעה על ליקויים ארגוניים למנהלי המחלקות ולמנכ"ל.</w:t>
      </w:r>
    </w:p>
    <w:p w:rsidR="003E4C9C" w:rsidRPr="003E4C9C" w:rsidRDefault="003E4C9C" w:rsidP="003E4C9C">
      <w:pPr>
        <w:rPr>
          <w:sz w:val="24"/>
          <w:szCs w:val="24"/>
          <w:rtl/>
        </w:rPr>
      </w:pPr>
      <w:r w:rsidRPr="003E4C9C">
        <w:rPr>
          <w:rFonts w:cs="Arial"/>
          <w:sz w:val="24"/>
          <w:szCs w:val="24"/>
          <w:rtl/>
        </w:rPr>
        <w:t>• העברת דיווחים תקופתיים למנכ"ל ולראש המועצה.</w:t>
      </w:r>
    </w:p>
    <w:p w:rsidR="003E4C9C" w:rsidRPr="003E4C9C" w:rsidRDefault="003E4C9C" w:rsidP="003E4C9C">
      <w:pPr>
        <w:rPr>
          <w:sz w:val="24"/>
          <w:szCs w:val="24"/>
          <w:rtl/>
        </w:rPr>
      </w:pPr>
      <w:r w:rsidRPr="003E4C9C">
        <w:rPr>
          <w:rFonts w:cs="Arial"/>
          <w:sz w:val="24"/>
          <w:szCs w:val="24"/>
          <w:rtl/>
        </w:rPr>
        <w:t>• תיווך בין התושבים להנהלת הרשות, תוך פיקוח על רמת ואיכות השרות לתושבים.</w:t>
      </w:r>
    </w:p>
    <w:p w:rsidR="003E4C9C" w:rsidRPr="003E4C9C" w:rsidRDefault="003E4C9C" w:rsidP="003E4C9C">
      <w:pPr>
        <w:rPr>
          <w:sz w:val="24"/>
          <w:szCs w:val="24"/>
          <w:rtl/>
        </w:rPr>
      </w:pPr>
    </w:p>
    <w:p w:rsidR="003E4C9C" w:rsidRPr="003E4C9C" w:rsidRDefault="003E4C9C" w:rsidP="003E4C9C">
      <w:pPr>
        <w:rPr>
          <w:sz w:val="24"/>
          <w:szCs w:val="24"/>
          <w:rtl/>
        </w:rPr>
      </w:pPr>
    </w:p>
    <w:p w:rsidR="003E4C9C" w:rsidRPr="003E4C9C" w:rsidRDefault="003E4C9C" w:rsidP="003E4C9C">
      <w:pPr>
        <w:rPr>
          <w:sz w:val="24"/>
          <w:szCs w:val="24"/>
          <w:u w:val="single"/>
          <w:rtl/>
        </w:rPr>
      </w:pPr>
      <w:r w:rsidRPr="003E4C9C">
        <w:rPr>
          <w:rFonts w:cs="Arial"/>
          <w:sz w:val="24"/>
          <w:szCs w:val="24"/>
          <w:u w:val="single"/>
          <w:rtl/>
        </w:rPr>
        <w:t>תהליך הטיפול בפנייה</w:t>
      </w:r>
      <w:r w:rsidRPr="003E4C9C">
        <w:rPr>
          <w:rFonts w:cs="Arial" w:hint="cs"/>
          <w:sz w:val="24"/>
          <w:szCs w:val="24"/>
          <w:u w:val="single"/>
          <w:rtl/>
        </w:rPr>
        <w:t>:</w:t>
      </w:r>
    </w:p>
    <w:p w:rsidR="003E4C9C" w:rsidRPr="003E4C9C" w:rsidRDefault="003E4C9C" w:rsidP="003E4C9C">
      <w:pPr>
        <w:pStyle w:val="a3"/>
        <w:numPr>
          <w:ilvl w:val="0"/>
          <w:numId w:val="3"/>
        </w:numPr>
        <w:rPr>
          <w:sz w:val="24"/>
          <w:szCs w:val="24"/>
          <w:rtl/>
        </w:rPr>
      </w:pPr>
      <w:r w:rsidRPr="003E4C9C">
        <w:rPr>
          <w:rFonts w:cs="Arial"/>
          <w:sz w:val="24"/>
          <w:szCs w:val="24"/>
          <w:rtl/>
        </w:rPr>
        <w:t>כל פניה המתקבלת במחלקות השונות תועבר לידיעת האחראית על הפניות.</w:t>
      </w:r>
    </w:p>
    <w:p w:rsidR="003E4C9C" w:rsidRPr="003E4C9C" w:rsidRDefault="003E4C9C" w:rsidP="003E4C9C">
      <w:pPr>
        <w:pStyle w:val="a3"/>
        <w:numPr>
          <w:ilvl w:val="0"/>
          <w:numId w:val="3"/>
        </w:numPr>
        <w:rPr>
          <w:sz w:val="24"/>
          <w:szCs w:val="24"/>
          <w:rtl/>
        </w:rPr>
      </w:pPr>
      <w:r w:rsidRPr="003E4C9C">
        <w:rPr>
          <w:rFonts w:cs="Arial"/>
          <w:sz w:val="24"/>
          <w:szCs w:val="24"/>
          <w:rtl/>
        </w:rPr>
        <w:t>עד 14 יום ממועד הפניה יקבל הפונה התייחסות ראשונית.</w:t>
      </w:r>
    </w:p>
    <w:p w:rsidR="003E4C9C" w:rsidRPr="003E4C9C" w:rsidRDefault="003E4C9C" w:rsidP="003E4C9C">
      <w:pPr>
        <w:pStyle w:val="a3"/>
        <w:numPr>
          <w:ilvl w:val="0"/>
          <w:numId w:val="3"/>
        </w:numPr>
        <w:rPr>
          <w:sz w:val="24"/>
          <w:szCs w:val="24"/>
          <w:rtl/>
        </w:rPr>
      </w:pPr>
      <w:r w:rsidRPr="003E4C9C">
        <w:rPr>
          <w:rFonts w:cs="Arial"/>
          <w:sz w:val="24"/>
          <w:szCs w:val="24"/>
          <w:rtl/>
        </w:rPr>
        <w:t>עד 30 יום מהפניה יקבל הפונה מענה לפנייתו.(במידה ויהיה צורך בזמן נוסף יוצג הנושא בפני המנכ"ל והוא יאשר חריגה נוספת עד 60 יום.</w:t>
      </w:r>
    </w:p>
    <w:p w:rsidR="003E4C9C" w:rsidRPr="003E4C9C" w:rsidRDefault="003E4C9C" w:rsidP="003E4C9C">
      <w:pPr>
        <w:pStyle w:val="a3"/>
        <w:numPr>
          <w:ilvl w:val="0"/>
          <w:numId w:val="3"/>
        </w:numPr>
        <w:rPr>
          <w:sz w:val="24"/>
          <w:szCs w:val="24"/>
          <w:rtl/>
        </w:rPr>
      </w:pPr>
      <w:r w:rsidRPr="003E4C9C">
        <w:rPr>
          <w:rFonts w:cs="Arial"/>
          <w:sz w:val="24"/>
          <w:szCs w:val="24"/>
          <w:rtl/>
        </w:rPr>
        <w:t>במידה ונמצא כי הייתה בעיה /תקלה ארגונית יש להציג הממצאים למנהל המחלקה ולמנכ"ל לעדכון ולטיפול ארגוני מתאים.</w:t>
      </w:r>
    </w:p>
    <w:p w:rsidR="003E4C9C" w:rsidRPr="003E4C9C" w:rsidRDefault="003E4C9C" w:rsidP="003E4C9C">
      <w:pPr>
        <w:rPr>
          <w:sz w:val="24"/>
          <w:szCs w:val="24"/>
          <w:rtl/>
        </w:rPr>
      </w:pPr>
    </w:p>
    <w:p w:rsidR="003E4C9C" w:rsidRPr="003E4C9C" w:rsidRDefault="003E4C9C" w:rsidP="003E4C9C">
      <w:pPr>
        <w:rPr>
          <w:sz w:val="24"/>
          <w:szCs w:val="24"/>
          <w:rtl/>
        </w:rPr>
      </w:pPr>
      <w:r w:rsidRPr="003E4C9C">
        <w:rPr>
          <w:rFonts w:cs="Arial"/>
          <w:b/>
          <w:bCs/>
          <w:sz w:val="24"/>
          <w:szCs w:val="24"/>
          <w:u w:val="single"/>
          <w:rtl/>
        </w:rPr>
        <w:t>תלונות הציבור</w:t>
      </w:r>
    </w:p>
    <w:p w:rsidR="003E4C9C" w:rsidRPr="003E4C9C" w:rsidRDefault="003E4C9C" w:rsidP="003E4C9C">
      <w:pPr>
        <w:pStyle w:val="a3"/>
        <w:numPr>
          <w:ilvl w:val="0"/>
          <w:numId w:val="1"/>
        </w:numPr>
        <w:rPr>
          <w:sz w:val="24"/>
          <w:szCs w:val="24"/>
          <w:rtl/>
        </w:rPr>
      </w:pPr>
      <w:r w:rsidRPr="003E4C9C">
        <w:rPr>
          <w:rFonts w:cs="Arial"/>
          <w:sz w:val="24"/>
          <w:szCs w:val="24"/>
          <w:rtl/>
        </w:rPr>
        <w:t>מבקר המועצה הינו הממונה על תלונות הציבור מתוקף חוק הרשויות המקומיות.</w:t>
      </w:r>
    </w:p>
    <w:p w:rsidR="003E4C9C" w:rsidRPr="003E4C9C" w:rsidRDefault="003E4C9C" w:rsidP="003E4C9C">
      <w:pPr>
        <w:pStyle w:val="a3"/>
        <w:numPr>
          <w:ilvl w:val="0"/>
          <w:numId w:val="1"/>
        </w:numPr>
        <w:rPr>
          <w:sz w:val="24"/>
          <w:szCs w:val="24"/>
          <w:rtl/>
        </w:rPr>
      </w:pPr>
      <w:r w:rsidRPr="003E4C9C">
        <w:rPr>
          <w:rFonts w:cs="Arial"/>
          <w:sz w:val="24"/>
          <w:szCs w:val="24"/>
          <w:rtl/>
        </w:rPr>
        <w:t>חובת סודיות-על הממונה לשמור בסוד כל ידיעה שהגיעה אליו עקב עבודתו, לא לעשות בה שימוש ולא לגלותה לאחר אלא לשם ביצוע תפקידיו.</w:t>
      </w:r>
    </w:p>
    <w:p w:rsidR="003E4C9C" w:rsidRPr="003E4C9C" w:rsidRDefault="003E4C9C" w:rsidP="003E4C9C">
      <w:pPr>
        <w:rPr>
          <w:sz w:val="24"/>
          <w:szCs w:val="24"/>
          <w:rtl/>
        </w:rPr>
      </w:pPr>
    </w:p>
    <w:p w:rsidR="003E4C9C" w:rsidRPr="003E4C9C" w:rsidRDefault="003E4C9C" w:rsidP="003E4C9C">
      <w:pPr>
        <w:rPr>
          <w:sz w:val="24"/>
          <w:szCs w:val="24"/>
          <w:rtl/>
        </w:rPr>
      </w:pPr>
      <w:r w:rsidRPr="003E4C9C">
        <w:rPr>
          <w:rFonts w:cs="Arial"/>
          <w:sz w:val="24"/>
          <w:szCs w:val="24"/>
          <w:u w:val="single"/>
          <w:rtl/>
        </w:rPr>
        <w:t>הגשת תלונה:</w:t>
      </w:r>
    </w:p>
    <w:p w:rsidR="003E4C9C" w:rsidRPr="003E4C9C" w:rsidRDefault="003E4C9C" w:rsidP="003E4C9C">
      <w:pPr>
        <w:rPr>
          <w:sz w:val="24"/>
          <w:szCs w:val="24"/>
          <w:rtl/>
        </w:rPr>
      </w:pPr>
      <w:r w:rsidRPr="003E4C9C">
        <w:rPr>
          <w:rFonts w:cs="Arial"/>
          <w:sz w:val="24"/>
          <w:szCs w:val="24"/>
          <w:rtl/>
        </w:rPr>
        <w:t>כל אדם רשאי להגיש תלונה לממונה על תלונות הציבור על הרשות המקומית ומוסדותיה, על עובד, על נושא משרה או על ממלא תפקיד ברשות המקומית, וכן על גוף, עירוני מבוקר כמשמעותו בסעיף 170א(ב) לפקודת העיריות, על נושא משרה או על ממלא תפקיד בו.</w:t>
      </w:r>
    </w:p>
    <w:p w:rsidR="003E4C9C" w:rsidRPr="003E4C9C" w:rsidRDefault="003E4C9C" w:rsidP="003E4C9C">
      <w:pPr>
        <w:rPr>
          <w:sz w:val="24"/>
          <w:szCs w:val="24"/>
          <w:rtl/>
        </w:rPr>
      </w:pPr>
      <w:r w:rsidRPr="003E4C9C">
        <w:rPr>
          <w:rFonts w:cs="Arial"/>
          <w:sz w:val="24"/>
          <w:szCs w:val="24"/>
          <w:rtl/>
        </w:rPr>
        <w:t xml:space="preserve">תלונה תהא בעניין הנוגע למילוי תפקידיו של </w:t>
      </w:r>
      <w:proofErr w:type="spellStart"/>
      <w:r w:rsidRPr="003E4C9C">
        <w:rPr>
          <w:rFonts w:cs="Arial"/>
          <w:sz w:val="24"/>
          <w:szCs w:val="24"/>
          <w:rtl/>
        </w:rPr>
        <w:t>הנילון</w:t>
      </w:r>
      <w:proofErr w:type="spellEnd"/>
      <w:r w:rsidRPr="003E4C9C">
        <w:rPr>
          <w:rFonts w:cs="Arial"/>
          <w:sz w:val="24"/>
          <w:szCs w:val="24"/>
          <w:rtl/>
        </w:rPr>
        <w:t>, ובלבד שהתקיימו שני אלה:</w:t>
      </w:r>
    </w:p>
    <w:p w:rsidR="003E4C9C" w:rsidRPr="003E4C9C" w:rsidRDefault="003E4C9C" w:rsidP="003E4C9C">
      <w:pPr>
        <w:pStyle w:val="a3"/>
        <w:numPr>
          <w:ilvl w:val="1"/>
          <w:numId w:val="6"/>
        </w:numPr>
        <w:rPr>
          <w:sz w:val="24"/>
          <w:szCs w:val="24"/>
          <w:rtl/>
        </w:rPr>
      </w:pPr>
      <w:r w:rsidRPr="003E4C9C">
        <w:rPr>
          <w:rFonts w:cs="Arial"/>
          <w:sz w:val="24"/>
          <w:szCs w:val="24"/>
          <w:rtl/>
        </w:rPr>
        <w:t>המעשה פוגע במישרין  במתלונן עצמו, או מונע ממנו במישרין טובת הנאה, או מעשה הפוגע במישרין באדם אחר או המונע ממנו במישרין טובת הנאה והמתלונן קיבל, להנחת דעתו של הממונה על תלונות הציבור, את הסכמתו של אותו אדם להגיש תלונה בעניינו.</w:t>
      </w:r>
    </w:p>
    <w:p w:rsidR="003E4C9C" w:rsidRPr="003E4C9C" w:rsidRDefault="003E4C9C" w:rsidP="003E4C9C">
      <w:pPr>
        <w:pStyle w:val="a3"/>
        <w:numPr>
          <w:ilvl w:val="1"/>
          <w:numId w:val="6"/>
        </w:numPr>
        <w:rPr>
          <w:sz w:val="24"/>
          <w:szCs w:val="24"/>
          <w:rtl/>
        </w:rPr>
      </w:pPr>
      <w:r w:rsidRPr="003E4C9C">
        <w:rPr>
          <w:rFonts w:cs="Arial"/>
          <w:sz w:val="24"/>
          <w:szCs w:val="24"/>
          <w:rtl/>
        </w:rPr>
        <w:t xml:space="preserve">המעשה נעשה בניגוד לחוק או שנעשה בלא סמכות חוקית או בניגוד </w:t>
      </w:r>
      <w:proofErr w:type="spellStart"/>
      <w:r w:rsidRPr="003E4C9C">
        <w:rPr>
          <w:rFonts w:cs="Arial"/>
          <w:sz w:val="24"/>
          <w:szCs w:val="24"/>
          <w:rtl/>
        </w:rPr>
        <w:t>למינהל</w:t>
      </w:r>
      <w:proofErr w:type="spellEnd"/>
      <w:r w:rsidRPr="003E4C9C">
        <w:rPr>
          <w:rFonts w:cs="Arial"/>
          <w:sz w:val="24"/>
          <w:szCs w:val="24"/>
          <w:rtl/>
        </w:rPr>
        <w:t xml:space="preserve"> תקין, או שיש בו משום נוקשות יתרה או אי-צדק בולט.</w:t>
      </w:r>
    </w:p>
    <w:p w:rsidR="003E4C9C" w:rsidRPr="003E4C9C" w:rsidRDefault="003E4C9C" w:rsidP="003E4C9C">
      <w:pPr>
        <w:rPr>
          <w:sz w:val="24"/>
          <w:szCs w:val="24"/>
          <w:rtl/>
        </w:rPr>
      </w:pPr>
      <w:r w:rsidRPr="003E4C9C">
        <w:rPr>
          <w:rFonts w:cs="Arial"/>
          <w:sz w:val="24"/>
          <w:szCs w:val="24"/>
          <w:rtl/>
        </w:rPr>
        <w:t>דרך הגשת התלונה- תלונה שהוגשה בכתב או תלונה שהוגשה בעל פה ונרשמה מפי המתלונן תיחתם בידי המתלונן ויצוינו בה שם המתלונן ומענו, תיאור מפורט של העניין שעליו נסבה התלונה, לרבות המועד שבו אירע, וכל פרט אחר הנוגע לעניין והמסייע לבירור יעיל של התלונה.</w:t>
      </w:r>
    </w:p>
    <w:p w:rsidR="003E4C9C" w:rsidRPr="003E4C9C" w:rsidRDefault="003E4C9C" w:rsidP="003E4C9C">
      <w:pPr>
        <w:rPr>
          <w:sz w:val="24"/>
          <w:szCs w:val="24"/>
          <w:rtl/>
        </w:rPr>
      </w:pPr>
      <w:r w:rsidRPr="003E4C9C">
        <w:rPr>
          <w:rFonts w:cs="Arial"/>
          <w:sz w:val="24"/>
          <w:szCs w:val="24"/>
          <w:rtl/>
        </w:rPr>
        <w:t xml:space="preserve">תלונות שאין לבררן: </w:t>
      </w:r>
    </w:p>
    <w:p w:rsidR="003E4C9C" w:rsidRPr="003E4C9C" w:rsidRDefault="003E4C9C" w:rsidP="003E4C9C">
      <w:pPr>
        <w:pStyle w:val="a3"/>
        <w:numPr>
          <w:ilvl w:val="1"/>
          <w:numId w:val="8"/>
        </w:numPr>
        <w:rPr>
          <w:sz w:val="24"/>
          <w:szCs w:val="24"/>
          <w:rtl/>
        </w:rPr>
      </w:pPr>
      <w:r w:rsidRPr="003E4C9C">
        <w:rPr>
          <w:rFonts w:cs="Arial"/>
          <w:sz w:val="24"/>
          <w:szCs w:val="24"/>
          <w:rtl/>
        </w:rPr>
        <w:t>תלונה בעניין התלוי ועומד בבית משפט או בבית דין או שבית משפט או בית דין הכריע בו לגופו;</w:t>
      </w:r>
    </w:p>
    <w:p w:rsidR="003E4C9C" w:rsidRPr="003E4C9C" w:rsidRDefault="003E4C9C" w:rsidP="003E4C9C">
      <w:pPr>
        <w:pStyle w:val="a3"/>
        <w:numPr>
          <w:ilvl w:val="1"/>
          <w:numId w:val="8"/>
        </w:numPr>
        <w:rPr>
          <w:sz w:val="24"/>
          <w:szCs w:val="24"/>
          <w:rtl/>
        </w:rPr>
      </w:pPr>
      <w:r w:rsidRPr="003E4C9C">
        <w:rPr>
          <w:rFonts w:cs="Arial"/>
          <w:sz w:val="24"/>
          <w:szCs w:val="24"/>
          <w:rtl/>
        </w:rPr>
        <w:t>תלונה שהממונה על תלונות הציבור סבור שהיא קנטרנית או טורדנית;</w:t>
      </w:r>
    </w:p>
    <w:p w:rsidR="003E4C9C" w:rsidRPr="003E4C9C" w:rsidRDefault="003E4C9C" w:rsidP="003E4C9C">
      <w:pPr>
        <w:pStyle w:val="a3"/>
        <w:numPr>
          <w:ilvl w:val="1"/>
          <w:numId w:val="8"/>
        </w:numPr>
        <w:rPr>
          <w:sz w:val="24"/>
          <w:szCs w:val="24"/>
          <w:rtl/>
        </w:rPr>
      </w:pPr>
      <w:r w:rsidRPr="003E4C9C">
        <w:rPr>
          <w:rFonts w:cs="Arial"/>
          <w:sz w:val="24"/>
          <w:szCs w:val="24"/>
          <w:rtl/>
        </w:rPr>
        <w:lastRenderedPageBreak/>
        <w:t>תלונה על פעולה שיפוטית או מעין שיפוטית;</w:t>
      </w:r>
    </w:p>
    <w:p w:rsidR="003E4C9C" w:rsidRPr="003E4C9C" w:rsidRDefault="003E4C9C" w:rsidP="003E4C9C">
      <w:pPr>
        <w:pStyle w:val="a3"/>
        <w:numPr>
          <w:ilvl w:val="1"/>
          <w:numId w:val="8"/>
        </w:numPr>
        <w:rPr>
          <w:sz w:val="24"/>
          <w:szCs w:val="24"/>
          <w:rtl/>
        </w:rPr>
      </w:pPr>
      <w:r w:rsidRPr="003E4C9C">
        <w:rPr>
          <w:rFonts w:cs="Arial"/>
          <w:sz w:val="24"/>
          <w:szCs w:val="24"/>
          <w:rtl/>
        </w:rPr>
        <w:t>תלונה של עובד בעניין הנוגע לשירותו כעובד, ואולם יהיה בירור על מעשה החורג מהוראות חוק, תקנות, הסכם קיבוצי או מהסדרים כלליים שנקבעו כדין;</w:t>
      </w:r>
    </w:p>
    <w:p w:rsidR="003E4C9C" w:rsidRPr="003E4C9C" w:rsidRDefault="003E4C9C" w:rsidP="003E4C9C">
      <w:pPr>
        <w:pStyle w:val="a3"/>
        <w:numPr>
          <w:ilvl w:val="1"/>
          <w:numId w:val="8"/>
        </w:numPr>
        <w:rPr>
          <w:sz w:val="24"/>
          <w:szCs w:val="24"/>
          <w:rtl/>
        </w:rPr>
      </w:pPr>
      <w:r w:rsidRPr="003E4C9C">
        <w:rPr>
          <w:rFonts w:cs="Arial"/>
          <w:sz w:val="24"/>
          <w:szCs w:val="24"/>
          <w:rtl/>
        </w:rPr>
        <w:t>תלונה בעניין שכבר הוגשה לגביו תלונה למבקר המדינה בתפקידו כנציב תלונות הציבור לפי חוק מבקר המדינה, התשי"ח-1958 [נוסח משולב].</w:t>
      </w:r>
    </w:p>
    <w:p w:rsidR="003E4C9C" w:rsidRPr="003E4C9C" w:rsidRDefault="003E4C9C" w:rsidP="003E4C9C">
      <w:pPr>
        <w:rPr>
          <w:sz w:val="24"/>
          <w:szCs w:val="24"/>
          <w:rtl/>
        </w:rPr>
      </w:pPr>
      <w:r w:rsidRPr="003E4C9C">
        <w:rPr>
          <w:rFonts w:cs="Arial"/>
          <w:sz w:val="24"/>
          <w:szCs w:val="24"/>
          <w:rtl/>
        </w:rPr>
        <w:t xml:space="preserve">א. דרכי בירור תלונה  </w:t>
      </w:r>
    </w:p>
    <w:p w:rsidR="003E4C9C" w:rsidRPr="003E4C9C" w:rsidRDefault="003E4C9C" w:rsidP="003E4C9C">
      <w:pPr>
        <w:rPr>
          <w:sz w:val="24"/>
          <w:szCs w:val="24"/>
          <w:rtl/>
        </w:rPr>
      </w:pPr>
      <w:r w:rsidRPr="003E4C9C">
        <w:rPr>
          <w:rFonts w:cs="Arial"/>
          <w:sz w:val="24"/>
          <w:szCs w:val="24"/>
          <w:rtl/>
        </w:rPr>
        <w:t xml:space="preserve">הממונה על תלונות הציבור רשאי לברר את התלונה בכל דרך שיראה לנכון, והוא אינו קשור להוראה שבסדר דין או בדיני ראיות. הממונה על תלונות הציבור יביא את התלונה לידיעת </w:t>
      </w:r>
      <w:proofErr w:type="spellStart"/>
      <w:r w:rsidRPr="003E4C9C">
        <w:rPr>
          <w:rFonts w:cs="Arial"/>
          <w:sz w:val="24"/>
          <w:szCs w:val="24"/>
          <w:rtl/>
        </w:rPr>
        <w:t>הנילון</w:t>
      </w:r>
      <w:proofErr w:type="spellEnd"/>
      <w:r w:rsidRPr="003E4C9C">
        <w:rPr>
          <w:rFonts w:cs="Arial"/>
          <w:sz w:val="24"/>
          <w:szCs w:val="24"/>
          <w:rtl/>
        </w:rPr>
        <w:t>, ואם היה עובד, נושא משרה או ממלא תפקיד כאמור בסעיף 5 - גם לידיעת הממונה עליו, ייתן להם הזדמנות נאותה להשיב עליה, והוא רשאי לדרוש מהם כי ישיבו על התלונה בתוך תקופה שיקבע בדרישתו.</w:t>
      </w:r>
    </w:p>
    <w:p w:rsidR="003E4C9C" w:rsidRPr="003E4C9C" w:rsidRDefault="003E4C9C" w:rsidP="003E4C9C">
      <w:pPr>
        <w:rPr>
          <w:sz w:val="24"/>
          <w:szCs w:val="24"/>
          <w:rtl/>
        </w:rPr>
      </w:pPr>
      <w:r w:rsidRPr="003E4C9C">
        <w:rPr>
          <w:rFonts w:cs="Arial"/>
          <w:sz w:val="24"/>
          <w:szCs w:val="24"/>
          <w:rtl/>
        </w:rPr>
        <w:t xml:space="preserve">ב. הממונה על תלונות הציבור רשאי לשמוע את המתלונן, את </w:t>
      </w:r>
      <w:proofErr w:type="spellStart"/>
      <w:r w:rsidRPr="003E4C9C">
        <w:rPr>
          <w:rFonts w:cs="Arial"/>
          <w:sz w:val="24"/>
          <w:szCs w:val="24"/>
          <w:rtl/>
        </w:rPr>
        <w:t>הנילון</w:t>
      </w:r>
      <w:proofErr w:type="spellEnd"/>
      <w:r w:rsidRPr="003E4C9C">
        <w:rPr>
          <w:rFonts w:cs="Arial"/>
          <w:sz w:val="24"/>
          <w:szCs w:val="24"/>
          <w:rtl/>
        </w:rPr>
        <w:t xml:space="preserve"> וכל אדם אחר, אם ראה בכך תועלת.  </w:t>
      </w:r>
    </w:p>
    <w:p w:rsidR="003E4C9C" w:rsidRPr="003E4C9C" w:rsidRDefault="003E4C9C" w:rsidP="003E4C9C">
      <w:pPr>
        <w:rPr>
          <w:sz w:val="24"/>
          <w:szCs w:val="24"/>
          <w:rtl/>
        </w:rPr>
      </w:pPr>
    </w:p>
    <w:p w:rsidR="003E4C9C" w:rsidRPr="003E4C9C" w:rsidRDefault="003E4C9C" w:rsidP="003E4C9C">
      <w:pPr>
        <w:rPr>
          <w:sz w:val="24"/>
          <w:szCs w:val="24"/>
          <w:rtl/>
        </w:rPr>
      </w:pPr>
      <w:r w:rsidRPr="003E4C9C">
        <w:rPr>
          <w:rFonts w:cs="Arial"/>
          <w:sz w:val="24"/>
          <w:szCs w:val="24"/>
          <w:rtl/>
        </w:rPr>
        <w:t xml:space="preserve">לצורך הבירור רשאי הממונה על תלונות הציבור: </w:t>
      </w:r>
    </w:p>
    <w:p w:rsidR="003E4C9C" w:rsidRPr="003E4C9C" w:rsidRDefault="003E4C9C" w:rsidP="003E4C9C">
      <w:pPr>
        <w:pStyle w:val="a3"/>
        <w:numPr>
          <w:ilvl w:val="1"/>
          <w:numId w:val="10"/>
        </w:numPr>
        <w:rPr>
          <w:sz w:val="24"/>
          <w:szCs w:val="24"/>
          <w:rtl/>
        </w:rPr>
      </w:pPr>
      <w:r w:rsidRPr="003E4C9C">
        <w:rPr>
          <w:rFonts w:cs="Arial"/>
          <w:sz w:val="24"/>
          <w:szCs w:val="24"/>
          <w:rtl/>
        </w:rPr>
        <w:t>לדרוש מכל אדם למסור לו, בתוך תקופה שיקבע בדרישה ובאופן שיקבע, כל ידיעה או מסמך העשויים לדעת הממונה על תלונות הציבור לעזור בבירור התלונה;</w:t>
      </w:r>
    </w:p>
    <w:p w:rsidR="003E4C9C" w:rsidRPr="003E4C9C" w:rsidRDefault="003E4C9C" w:rsidP="003E4C9C">
      <w:pPr>
        <w:pStyle w:val="a3"/>
        <w:numPr>
          <w:ilvl w:val="1"/>
          <w:numId w:val="10"/>
        </w:numPr>
        <w:rPr>
          <w:sz w:val="24"/>
          <w:szCs w:val="24"/>
          <w:rtl/>
        </w:rPr>
      </w:pPr>
      <w:r w:rsidRPr="003E4C9C">
        <w:rPr>
          <w:rFonts w:cs="Arial"/>
          <w:sz w:val="24"/>
          <w:szCs w:val="24"/>
          <w:rtl/>
        </w:rPr>
        <w:t>לדרוש מכל עובד של גוף מן הגופים המנויים בסעיף 5(א) להתייצב לפניו במועד שיקבע לשם מסירת ידיעות או מסמכים כאמור בפסקה (1).</w:t>
      </w:r>
    </w:p>
    <w:p w:rsidR="003E4C9C" w:rsidRPr="003E4C9C" w:rsidRDefault="003E4C9C" w:rsidP="003E4C9C">
      <w:pPr>
        <w:pStyle w:val="a3"/>
        <w:numPr>
          <w:ilvl w:val="1"/>
          <w:numId w:val="10"/>
        </w:numPr>
        <w:rPr>
          <w:sz w:val="24"/>
          <w:szCs w:val="24"/>
          <w:rtl/>
        </w:rPr>
      </w:pPr>
      <w:r w:rsidRPr="003E4C9C">
        <w:rPr>
          <w:rFonts w:cs="Arial"/>
          <w:sz w:val="24"/>
          <w:szCs w:val="24"/>
          <w:rtl/>
        </w:rPr>
        <w:t>אין בהוראות סעיף קטן (ד) כדי לגרוע מכללי חסיונות עדים או כללי ראיות חסויות.</w:t>
      </w:r>
    </w:p>
    <w:p w:rsidR="003E4C9C" w:rsidRPr="003E4C9C" w:rsidRDefault="003E4C9C" w:rsidP="003E4C9C">
      <w:pPr>
        <w:pStyle w:val="a3"/>
        <w:numPr>
          <w:ilvl w:val="1"/>
          <w:numId w:val="10"/>
        </w:numPr>
        <w:rPr>
          <w:sz w:val="24"/>
          <w:szCs w:val="24"/>
          <w:rtl/>
        </w:rPr>
      </w:pPr>
      <w:r w:rsidRPr="003E4C9C">
        <w:rPr>
          <w:rFonts w:cs="Arial"/>
          <w:sz w:val="24"/>
          <w:szCs w:val="24"/>
          <w:rtl/>
        </w:rPr>
        <w:t>בירור התלונה יסתיים לכל המאוחר עד תום שנה אחת מיום הגשתה.</w:t>
      </w:r>
    </w:p>
    <w:p w:rsidR="003E4C9C" w:rsidRPr="003E4C9C" w:rsidRDefault="003E4C9C" w:rsidP="003E4C9C">
      <w:pPr>
        <w:rPr>
          <w:sz w:val="24"/>
          <w:szCs w:val="24"/>
          <w:u w:val="single"/>
          <w:rtl/>
        </w:rPr>
      </w:pPr>
      <w:r w:rsidRPr="003E4C9C">
        <w:rPr>
          <w:rFonts w:cs="Arial"/>
          <w:sz w:val="24"/>
          <w:szCs w:val="24"/>
          <w:u w:val="single"/>
          <w:rtl/>
        </w:rPr>
        <w:t>הפסקת הבירור</w:t>
      </w:r>
    </w:p>
    <w:p w:rsidR="003E4C9C" w:rsidRDefault="003E4C9C" w:rsidP="003E4C9C">
      <w:pPr>
        <w:pStyle w:val="a3"/>
        <w:numPr>
          <w:ilvl w:val="0"/>
          <w:numId w:val="13"/>
        </w:numPr>
        <w:rPr>
          <w:sz w:val="24"/>
          <w:szCs w:val="24"/>
        </w:rPr>
      </w:pPr>
      <w:r w:rsidRPr="003E4C9C">
        <w:rPr>
          <w:rFonts w:cs="Arial"/>
          <w:sz w:val="24"/>
          <w:szCs w:val="24"/>
          <w:rtl/>
        </w:rPr>
        <w:t xml:space="preserve">הממונה על תלונות הציבור יפסיק בירור תלונה אם ראה כי מלכתחילה לא היה מקום לבירורה לפי הוראות חוק זה, ורשאי הוא להפסיקו אם ראה שעניין התלונה בא על תיקונו או שהמתלונן ביטל את תלונתו; הממונה על תלונות הציבור יודיע בכתב למתלונן, </w:t>
      </w:r>
      <w:proofErr w:type="spellStart"/>
      <w:r w:rsidRPr="003E4C9C">
        <w:rPr>
          <w:rFonts w:cs="Arial"/>
          <w:sz w:val="24"/>
          <w:szCs w:val="24"/>
          <w:rtl/>
        </w:rPr>
        <w:t>לנילון</w:t>
      </w:r>
      <w:proofErr w:type="spellEnd"/>
      <w:r w:rsidRPr="003E4C9C">
        <w:rPr>
          <w:rFonts w:cs="Arial"/>
          <w:sz w:val="24"/>
          <w:szCs w:val="24"/>
          <w:rtl/>
        </w:rPr>
        <w:t xml:space="preserve"> ולממונה עליו, שהפסיק את הבירור ויציין את הנימוקים לכך.</w:t>
      </w:r>
    </w:p>
    <w:p w:rsidR="003E4C9C" w:rsidRPr="003E4C9C" w:rsidRDefault="003E4C9C" w:rsidP="003E4C9C">
      <w:pPr>
        <w:pStyle w:val="a3"/>
        <w:rPr>
          <w:sz w:val="24"/>
          <w:szCs w:val="24"/>
          <w:rtl/>
        </w:rPr>
      </w:pPr>
    </w:p>
    <w:p w:rsidR="003E4C9C" w:rsidRPr="003E4C9C" w:rsidRDefault="003E4C9C" w:rsidP="003E4C9C">
      <w:pPr>
        <w:pStyle w:val="a3"/>
        <w:rPr>
          <w:sz w:val="24"/>
          <w:szCs w:val="24"/>
          <w:u w:val="single"/>
          <w:rtl/>
        </w:rPr>
      </w:pPr>
      <w:r w:rsidRPr="003E4C9C">
        <w:rPr>
          <w:rFonts w:cs="Arial"/>
          <w:sz w:val="24"/>
          <w:szCs w:val="24"/>
          <w:u w:val="single"/>
          <w:rtl/>
        </w:rPr>
        <w:t>תוצאות הבירור</w:t>
      </w:r>
    </w:p>
    <w:p w:rsidR="003E4C9C" w:rsidRPr="003E4C9C" w:rsidRDefault="003E4C9C" w:rsidP="003E4C9C">
      <w:pPr>
        <w:pStyle w:val="a3"/>
        <w:numPr>
          <w:ilvl w:val="0"/>
          <w:numId w:val="14"/>
        </w:numPr>
        <w:rPr>
          <w:sz w:val="24"/>
          <w:szCs w:val="24"/>
          <w:rtl/>
        </w:rPr>
      </w:pPr>
      <w:r w:rsidRPr="003E4C9C">
        <w:rPr>
          <w:rFonts w:cs="Arial"/>
          <w:sz w:val="24"/>
          <w:szCs w:val="24"/>
          <w:rtl/>
        </w:rPr>
        <w:t xml:space="preserve"> (א) מצא הממונה על תלונות הציבור, בתוך הליך הבירור, שהתלונה היתה מוצדקת, כולה או חלקה, ינהג כמפורט להלן:</w:t>
      </w:r>
    </w:p>
    <w:p w:rsidR="003E4C9C" w:rsidRPr="003E4C9C" w:rsidRDefault="003E4C9C" w:rsidP="003E4C9C">
      <w:pPr>
        <w:pStyle w:val="a3"/>
        <w:numPr>
          <w:ilvl w:val="1"/>
          <w:numId w:val="14"/>
        </w:numPr>
        <w:rPr>
          <w:sz w:val="24"/>
          <w:szCs w:val="24"/>
          <w:rtl/>
        </w:rPr>
      </w:pPr>
      <w:r w:rsidRPr="003E4C9C">
        <w:rPr>
          <w:rFonts w:cs="Arial"/>
          <w:sz w:val="24"/>
          <w:szCs w:val="24"/>
          <w:rtl/>
        </w:rPr>
        <w:t xml:space="preserve">ימסור על כך הודעה מנומקת בכתב למתלונן, </w:t>
      </w:r>
      <w:proofErr w:type="spellStart"/>
      <w:r w:rsidRPr="003E4C9C">
        <w:rPr>
          <w:rFonts w:cs="Arial"/>
          <w:sz w:val="24"/>
          <w:szCs w:val="24"/>
          <w:rtl/>
        </w:rPr>
        <w:t>לנילון</w:t>
      </w:r>
      <w:proofErr w:type="spellEnd"/>
      <w:r w:rsidRPr="003E4C9C">
        <w:rPr>
          <w:rFonts w:cs="Arial"/>
          <w:sz w:val="24"/>
          <w:szCs w:val="24"/>
          <w:rtl/>
        </w:rPr>
        <w:t>, לממונה עליו ולראש הרשות המקומית;</w:t>
      </w:r>
    </w:p>
    <w:p w:rsidR="003E4C9C" w:rsidRPr="003E4C9C" w:rsidRDefault="003E4C9C" w:rsidP="003E4C9C">
      <w:pPr>
        <w:pStyle w:val="a3"/>
        <w:numPr>
          <w:ilvl w:val="1"/>
          <w:numId w:val="14"/>
        </w:numPr>
        <w:rPr>
          <w:sz w:val="24"/>
          <w:szCs w:val="24"/>
          <w:rtl/>
        </w:rPr>
      </w:pPr>
      <w:r w:rsidRPr="003E4C9C">
        <w:rPr>
          <w:rFonts w:cs="Arial"/>
          <w:sz w:val="24"/>
          <w:szCs w:val="24"/>
          <w:rtl/>
        </w:rPr>
        <w:t xml:space="preserve">היה </w:t>
      </w:r>
      <w:proofErr w:type="spellStart"/>
      <w:r w:rsidRPr="003E4C9C">
        <w:rPr>
          <w:rFonts w:cs="Arial"/>
          <w:sz w:val="24"/>
          <w:szCs w:val="24"/>
          <w:rtl/>
        </w:rPr>
        <w:t>הנילון</w:t>
      </w:r>
      <w:proofErr w:type="spellEnd"/>
      <w:r w:rsidRPr="003E4C9C">
        <w:rPr>
          <w:rFonts w:cs="Arial"/>
          <w:sz w:val="24"/>
          <w:szCs w:val="24"/>
          <w:rtl/>
        </w:rPr>
        <w:t xml:space="preserve"> ראש הרשות המקומית – תימסר הודעה כאמור גם למועצת הרשות המקומית;</w:t>
      </w:r>
    </w:p>
    <w:p w:rsidR="003E4C9C" w:rsidRPr="003E4C9C" w:rsidRDefault="003E4C9C" w:rsidP="003E4C9C">
      <w:pPr>
        <w:pStyle w:val="a3"/>
        <w:numPr>
          <w:ilvl w:val="1"/>
          <w:numId w:val="14"/>
        </w:numPr>
        <w:rPr>
          <w:sz w:val="24"/>
          <w:szCs w:val="24"/>
          <w:rtl/>
        </w:rPr>
      </w:pPr>
      <w:r w:rsidRPr="003E4C9C">
        <w:rPr>
          <w:rFonts w:cs="Arial"/>
          <w:sz w:val="24"/>
          <w:szCs w:val="24"/>
          <w:rtl/>
        </w:rPr>
        <w:t xml:space="preserve">העלה בירור התלונה קיומו של ליקוי – רשאי הממונה על תלונות הציבור להצביע לפני </w:t>
      </w:r>
      <w:proofErr w:type="spellStart"/>
      <w:r w:rsidRPr="003E4C9C">
        <w:rPr>
          <w:rFonts w:cs="Arial"/>
          <w:sz w:val="24"/>
          <w:szCs w:val="24"/>
          <w:rtl/>
        </w:rPr>
        <w:t>הנילון</w:t>
      </w:r>
      <w:proofErr w:type="spellEnd"/>
      <w:r w:rsidRPr="003E4C9C">
        <w:rPr>
          <w:rFonts w:cs="Arial"/>
          <w:sz w:val="24"/>
          <w:szCs w:val="24"/>
          <w:rtl/>
        </w:rPr>
        <w:t xml:space="preserve"> ולפני ראש הרשות המקומית או מועצת הרשות המקומית, לפי העניין, על הצורך בתיקון הליקוי ועל הדרך והמועד לכך.</w:t>
      </w:r>
    </w:p>
    <w:p w:rsidR="003E4C9C" w:rsidRPr="003E4C9C" w:rsidRDefault="003E4C9C" w:rsidP="003E4C9C">
      <w:pPr>
        <w:pStyle w:val="a3"/>
        <w:numPr>
          <w:ilvl w:val="0"/>
          <w:numId w:val="14"/>
        </w:numPr>
        <w:rPr>
          <w:sz w:val="24"/>
          <w:szCs w:val="24"/>
          <w:rtl/>
        </w:rPr>
      </w:pPr>
      <w:proofErr w:type="spellStart"/>
      <w:r w:rsidRPr="003E4C9C">
        <w:rPr>
          <w:rFonts w:cs="Arial"/>
          <w:sz w:val="24"/>
          <w:szCs w:val="24"/>
          <w:rtl/>
        </w:rPr>
        <w:lastRenderedPageBreak/>
        <w:t>הנילון</w:t>
      </w:r>
      <w:proofErr w:type="spellEnd"/>
      <w:r w:rsidRPr="003E4C9C">
        <w:rPr>
          <w:rFonts w:cs="Arial"/>
          <w:sz w:val="24"/>
          <w:szCs w:val="24"/>
          <w:rtl/>
        </w:rPr>
        <w:t xml:space="preserve"> או הממונה עליו, וכן, לפי העניין, ראש הרשות המקומית, יודיעו לממונה על תלונות הציבור על האמצעים שננקטו לתיקון הליקוי בתוך המועד כאמור בסעיף קטן (א)(3).</w:t>
      </w:r>
    </w:p>
    <w:p w:rsidR="003E4C9C" w:rsidRPr="003E4C9C" w:rsidRDefault="003E4C9C" w:rsidP="003E4C9C">
      <w:pPr>
        <w:rPr>
          <w:sz w:val="24"/>
          <w:szCs w:val="24"/>
          <w:u w:val="single"/>
          <w:rtl/>
        </w:rPr>
      </w:pPr>
      <w:bookmarkStart w:id="0" w:name="_GoBack"/>
      <w:r w:rsidRPr="003E4C9C">
        <w:rPr>
          <w:rFonts w:cs="Arial"/>
          <w:sz w:val="24"/>
          <w:szCs w:val="24"/>
          <w:u w:val="single"/>
          <w:rtl/>
        </w:rPr>
        <w:t>סייגים להודעה</w:t>
      </w:r>
    </w:p>
    <w:bookmarkEnd w:id="0"/>
    <w:p w:rsidR="003E4C9C" w:rsidRPr="003E4C9C" w:rsidRDefault="003E4C9C" w:rsidP="003E4C9C">
      <w:pPr>
        <w:rPr>
          <w:sz w:val="24"/>
          <w:szCs w:val="24"/>
          <w:rtl/>
        </w:rPr>
      </w:pPr>
      <w:r w:rsidRPr="003E4C9C">
        <w:rPr>
          <w:rFonts w:cs="Arial"/>
          <w:sz w:val="24"/>
          <w:szCs w:val="24"/>
          <w:rtl/>
        </w:rPr>
        <w:t>12. בהודעה לפי סעיף 11(א) יהיה הממונה על תלונות הציבור פטור מלציין את ממצאיו או נימוקיו –</w:t>
      </w:r>
    </w:p>
    <w:p w:rsidR="003E4C9C" w:rsidRPr="003E4C9C" w:rsidRDefault="003E4C9C" w:rsidP="003E4C9C">
      <w:pPr>
        <w:rPr>
          <w:sz w:val="24"/>
          <w:szCs w:val="24"/>
          <w:rtl/>
        </w:rPr>
      </w:pPr>
      <w:r w:rsidRPr="003E4C9C">
        <w:rPr>
          <w:rFonts w:cs="Arial"/>
          <w:sz w:val="24"/>
          <w:szCs w:val="24"/>
          <w:rtl/>
        </w:rPr>
        <w:t>(1) כשהתלונה היתה בעניין מינוי למשרה פלונית או הטלת תפקיד פלוני;</w:t>
      </w:r>
    </w:p>
    <w:p w:rsidR="003E4C9C" w:rsidRPr="003E4C9C" w:rsidRDefault="003E4C9C" w:rsidP="003E4C9C">
      <w:pPr>
        <w:rPr>
          <w:sz w:val="24"/>
          <w:szCs w:val="24"/>
          <w:rtl/>
        </w:rPr>
      </w:pPr>
      <w:r w:rsidRPr="003E4C9C">
        <w:rPr>
          <w:rFonts w:cs="Arial"/>
          <w:sz w:val="24"/>
          <w:szCs w:val="24"/>
          <w:rtl/>
        </w:rPr>
        <w:t>(2) כשהחומר או הראיה עלולים לדעתו לפגוע שלא כדין בזכותו של אדם זולת המתלונן;</w:t>
      </w:r>
    </w:p>
    <w:p w:rsidR="003E4C9C" w:rsidRPr="003E4C9C" w:rsidRDefault="003E4C9C" w:rsidP="003E4C9C">
      <w:pPr>
        <w:rPr>
          <w:sz w:val="24"/>
          <w:szCs w:val="24"/>
          <w:rtl/>
        </w:rPr>
      </w:pPr>
      <w:r w:rsidRPr="003E4C9C">
        <w:rPr>
          <w:rFonts w:cs="Arial"/>
          <w:sz w:val="24"/>
          <w:szCs w:val="24"/>
          <w:rtl/>
        </w:rPr>
        <w:t>(3) כשיש לדעתו בגילוי החומר או הראיה משום גילוי סוד מקצועי או ידיעה סודית כמשמעותם לפי כל דין.</w:t>
      </w:r>
    </w:p>
    <w:p w:rsidR="003E4C9C" w:rsidRPr="003E4C9C" w:rsidRDefault="003E4C9C" w:rsidP="003E4C9C">
      <w:pPr>
        <w:rPr>
          <w:sz w:val="24"/>
          <w:szCs w:val="24"/>
          <w:rtl/>
        </w:rPr>
      </w:pPr>
      <w:r w:rsidRPr="003E4C9C">
        <w:rPr>
          <w:rFonts w:cs="Arial"/>
          <w:sz w:val="24"/>
          <w:szCs w:val="24"/>
          <w:rtl/>
        </w:rPr>
        <w:t>דחיית התלונה</w:t>
      </w:r>
    </w:p>
    <w:p w:rsidR="001D4907" w:rsidRPr="003E4C9C" w:rsidRDefault="003E4C9C" w:rsidP="003E4C9C">
      <w:pPr>
        <w:rPr>
          <w:sz w:val="24"/>
          <w:szCs w:val="24"/>
        </w:rPr>
      </w:pPr>
      <w:r w:rsidRPr="003E4C9C">
        <w:rPr>
          <w:rFonts w:cs="Arial"/>
          <w:sz w:val="24"/>
          <w:szCs w:val="24"/>
          <w:rtl/>
        </w:rPr>
        <w:t xml:space="preserve">13.מצא הממונה על תלונות הציבור כי התלונה אינה מוצדקת, יודיע על ממצאיו למתלונן, </w:t>
      </w:r>
      <w:proofErr w:type="spellStart"/>
      <w:r w:rsidRPr="003E4C9C">
        <w:rPr>
          <w:rFonts w:cs="Arial"/>
          <w:sz w:val="24"/>
          <w:szCs w:val="24"/>
          <w:rtl/>
        </w:rPr>
        <w:t>לנילון</w:t>
      </w:r>
      <w:proofErr w:type="spellEnd"/>
      <w:r w:rsidRPr="003E4C9C">
        <w:rPr>
          <w:rFonts w:cs="Arial"/>
          <w:sz w:val="24"/>
          <w:szCs w:val="24"/>
          <w:rtl/>
        </w:rPr>
        <w:t xml:space="preserve"> ולממונה עליו.</w:t>
      </w:r>
    </w:p>
    <w:sectPr w:rsidR="001D4907" w:rsidRPr="003E4C9C" w:rsidSect="002256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3DE"/>
    <w:multiLevelType w:val="hybridMultilevel"/>
    <w:tmpl w:val="0A1E5F8A"/>
    <w:lvl w:ilvl="0" w:tplc="04090013">
      <w:start w:val="1"/>
      <w:numFmt w:val="hebrew1"/>
      <w:lvlText w:val="%1."/>
      <w:lvlJc w:val="center"/>
      <w:pPr>
        <w:ind w:left="720" w:hanging="360"/>
      </w:pPr>
    </w:lvl>
    <w:lvl w:ilvl="1" w:tplc="8AAC8286">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62F0"/>
    <w:multiLevelType w:val="hybridMultilevel"/>
    <w:tmpl w:val="337097E2"/>
    <w:lvl w:ilvl="0" w:tplc="8EDAB02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42BEA"/>
    <w:multiLevelType w:val="hybridMultilevel"/>
    <w:tmpl w:val="28AEF504"/>
    <w:lvl w:ilvl="0" w:tplc="6900A8D2">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93308"/>
    <w:multiLevelType w:val="hybridMultilevel"/>
    <w:tmpl w:val="1014249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6D6100D"/>
    <w:multiLevelType w:val="hybridMultilevel"/>
    <w:tmpl w:val="E7BE16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549C1"/>
    <w:multiLevelType w:val="hybridMultilevel"/>
    <w:tmpl w:val="4B8A48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D193C"/>
    <w:multiLevelType w:val="hybridMultilevel"/>
    <w:tmpl w:val="6E64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A7D3C"/>
    <w:multiLevelType w:val="hybridMultilevel"/>
    <w:tmpl w:val="6FDE3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07968"/>
    <w:multiLevelType w:val="hybridMultilevel"/>
    <w:tmpl w:val="9516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B557E"/>
    <w:multiLevelType w:val="hybridMultilevel"/>
    <w:tmpl w:val="E3D034E2"/>
    <w:lvl w:ilvl="0" w:tplc="355675E8">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534D5"/>
    <w:multiLevelType w:val="hybridMultilevel"/>
    <w:tmpl w:val="35521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31097"/>
    <w:multiLevelType w:val="hybridMultilevel"/>
    <w:tmpl w:val="4D067528"/>
    <w:lvl w:ilvl="0" w:tplc="2A788B88">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61CFA"/>
    <w:multiLevelType w:val="hybridMultilevel"/>
    <w:tmpl w:val="8EDCF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36720"/>
    <w:multiLevelType w:val="hybridMultilevel"/>
    <w:tmpl w:val="A6AA71EA"/>
    <w:lvl w:ilvl="0" w:tplc="04090013">
      <w:start w:val="1"/>
      <w:numFmt w:val="hebrew1"/>
      <w:lvlText w:val="%1."/>
      <w:lvlJc w:val="center"/>
      <w:pPr>
        <w:ind w:left="720" w:hanging="360"/>
      </w:pPr>
    </w:lvl>
    <w:lvl w:ilvl="1" w:tplc="AAE825DA">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F23CC"/>
    <w:multiLevelType w:val="hybridMultilevel"/>
    <w:tmpl w:val="F67EC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11"/>
  </w:num>
  <w:num w:numId="5">
    <w:abstractNumId w:val="12"/>
  </w:num>
  <w:num w:numId="6">
    <w:abstractNumId w:val="5"/>
  </w:num>
  <w:num w:numId="7">
    <w:abstractNumId w:val="10"/>
  </w:num>
  <w:num w:numId="8">
    <w:abstractNumId w:val="7"/>
  </w:num>
  <w:num w:numId="9">
    <w:abstractNumId w:val="14"/>
  </w:num>
  <w:num w:numId="10">
    <w:abstractNumId w:val="4"/>
  </w:num>
  <w:num w:numId="11">
    <w:abstractNumId w:val="8"/>
  </w:num>
  <w:num w:numId="12">
    <w:abstractNumId w:val="2"/>
  </w:num>
  <w:num w:numId="13">
    <w:abstractNumId w:val="9"/>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9C"/>
    <w:rsid w:val="001D4907"/>
    <w:rsid w:val="0022566E"/>
    <w:rsid w:val="003E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A956"/>
  <w15:chartTrackingRefBased/>
  <w15:docId w15:val="{DA242716-2E6E-4EBC-899A-F8486978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1015</Words>
  <Characters>5079</Characters>
  <Application>Microsoft Office Word</Application>
  <DocSecurity>0</DocSecurity>
  <Lines>42</Lines>
  <Paragraphs>12</Paragraphs>
  <ScaleCrop>false</ScaleCrop>
  <Company>none</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שרון</dc:creator>
  <cp:keywords/>
  <dc:description/>
  <cp:lastModifiedBy>יפעת שרון</cp:lastModifiedBy>
  <cp:revision>1</cp:revision>
  <dcterms:created xsi:type="dcterms:W3CDTF">2018-11-13T09:11:00Z</dcterms:created>
  <dcterms:modified xsi:type="dcterms:W3CDTF">2018-11-13T09:17:00Z</dcterms:modified>
</cp:coreProperties>
</file>